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7"/>
        <w:widowControl/>
        <w:spacing w:line="240" w:lineRule="auto"/>
        <w:jc w:val="center"/>
        <w:rPr>
          <w:rFonts w:cs="Times New Roman"/>
          <w:b/>
          <w:lang w:val="ru-RU" w:eastAsia="ar-SA" w:bidi="ar-SA"/>
        </w:rPr>
      </w:pPr>
      <w:r>
        <w:rPr>
          <w:rFonts w:cs="Times New Roman"/>
          <w:lang w:val="ru-RU" w:eastAsia="ru-RU" w:bidi="ar-SA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28015" cy="882650"/>
                <wp:effectExtent l="0" t="0" r="63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2801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45pt;height:69.5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widowControl/>
        <w:spacing w:line="240" w:lineRule="auto"/>
        <w:jc w:val="right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widowControl/>
        <w:spacing w:line="240" w:lineRule="auto"/>
        <w:jc w:val="center"/>
        <w:rPr>
          <w:rFonts w:cs="Times New Roman"/>
          <w:b/>
          <w:sz w:val="22"/>
          <w:szCs w:val="22"/>
          <w:lang w:val="ru-RU" w:eastAsia="ar-SA" w:bidi="ar-SA"/>
        </w:rPr>
      </w:pPr>
      <w:r>
        <w:rPr>
          <w:rFonts w:cs="Times New Roman"/>
          <w:b/>
          <w:sz w:val="22"/>
          <w:szCs w:val="22"/>
          <w:lang w:val="ru-RU" w:eastAsia="ar-SA" w:bidi="ar-SA"/>
        </w:rPr>
        <w:t xml:space="preserve">БЕЛОЯРСКИЙ РАЙОН</w:t>
      </w:r>
      <w:r>
        <w:rPr>
          <w:rFonts w:cs="Times New Roman"/>
          <w:b/>
          <w:sz w:val="22"/>
          <w:szCs w:val="22"/>
          <w:lang w:val="ru-RU" w:eastAsia="ar-SA" w:bidi="ar-SA"/>
        </w:rPr>
      </w:r>
      <w:r>
        <w:rPr>
          <w:rFonts w:cs="Times New Roman"/>
          <w:b/>
          <w:sz w:val="22"/>
          <w:szCs w:val="22"/>
          <w:lang w:val="ru-RU" w:eastAsia="ar-SA" w:bidi="ar-SA"/>
        </w:rPr>
      </w:r>
    </w:p>
    <w:p>
      <w:pPr>
        <w:pStyle w:val="867"/>
        <w:keepNext/>
        <w:widowControl/>
        <w:spacing w:line="240" w:lineRule="auto"/>
        <w:jc w:val="center"/>
        <w:rPr>
          <w:rFonts w:cs="Times New Roman"/>
          <w:b/>
          <w:sz w:val="20"/>
          <w:szCs w:val="20"/>
          <w:lang w:val="ru-RU" w:eastAsia="ar-SA" w:bidi="ar-SA"/>
        </w:rPr>
      </w:pPr>
      <w:r>
        <w:rPr>
          <w:rFonts w:cs="Times New Roman"/>
          <w:b/>
          <w:sz w:val="20"/>
          <w:szCs w:val="20"/>
          <w:lang w:val="ru-RU" w:eastAsia="ar-SA" w:bidi="ar-SA"/>
        </w:rPr>
        <w:t xml:space="preserve">ХАНТЫ-МАНСИЙСКИЙ АВТОНОМНЫЙ ОКРУГ – ЮГРА</w:t>
      </w:r>
      <w:r>
        <w:rPr>
          <w:rFonts w:cs="Times New Roman"/>
          <w:b/>
          <w:sz w:val="20"/>
          <w:szCs w:val="20"/>
          <w:lang w:val="ru-RU" w:eastAsia="ar-SA" w:bidi="ar-SA"/>
        </w:rPr>
      </w:r>
      <w:r>
        <w:rPr>
          <w:rFonts w:cs="Times New Roman"/>
          <w:b/>
          <w:sz w:val="20"/>
          <w:szCs w:val="20"/>
          <w:lang w:val="ru-RU" w:eastAsia="ar-SA" w:bidi="ar-SA"/>
        </w:rPr>
      </w:r>
    </w:p>
    <w:p>
      <w:pPr>
        <w:pStyle w:val="867"/>
        <w:keepNext/>
        <w:widowControl/>
        <w:spacing w:line="240" w:lineRule="auto"/>
        <w:jc w:val="center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keepNext/>
        <w:widowControl/>
        <w:spacing w:line="240" w:lineRule="auto"/>
        <w:jc w:val="center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ab/>
      </w:r>
      <w:r>
        <w:rPr>
          <w:rFonts w:cs="Times New Roman"/>
          <w:b/>
          <w:lang w:val="ru-RU" w:eastAsia="ar-SA" w:bidi="ar-SA"/>
        </w:rPr>
        <w:t xml:space="preserve">Проект</w:t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keepNext/>
        <w:widowControl/>
        <w:spacing w:line="240" w:lineRule="auto"/>
        <w:jc w:val="center"/>
        <w:rPr>
          <w:rFonts w:cs="Times New Roman"/>
          <w:b/>
          <w:sz w:val="32"/>
          <w:szCs w:val="32"/>
          <w:lang w:val="ru-RU" w:eastAsia="ar-SA" w:bidi="ar-SA"/>
        </w:rPr>
      </w:pPr>
      <w:r>
        <w:rPr>
          <w:rFonts w:cs="Times New Roman"/>
          <w:b/>
          <w:sz w:val="32"/>
          <w:szCs w:val="32"/>
          <w:lang w:val="ru-RU" w:eastAsia="ar-SA" w:bidi="ar-SA"/>
        </w:rPr>
        <w:t xml:space="preserve">ДУМА БЕЛОЯРСКОГО РАЙОНА</w:t>
      </w:r>
      <w:r>
        <w:rPr>
          <w:rFonts w:cs="Times New Roman"/>
          <w:b/>
          <w:sz w:val="32"/>
          <w:szCs w:val="32"/>
          <w:lang w:val="ru-RU" w:eastAsia="ar-SA" w:bidi="ar-SA"/>
        </w:rPr>
      </w:r>
      <w:r>
        <w:rPr>
          <w:rFonts w:cs="Times New Roman"/>
          <w:b/>
          <w:sz w:val="32"/>
          <w:szCs w:val="32"/>
          <w:lang w:val="ru-RU" w:eastAsia="ar-SA" w:bidi="ar-SA"/>
        </w:rPr>
      </w:r>
    </w:p>
    <w:p>
      <w:pPr>
        <w:pStyle w:val="867"/>
        <w:widowControl/>
        <w:spacing w:line="240" w:lineRule="auto"/>
        <w:jc w:val="center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widowControl/>
        <w:spacing w:line="240" w:lineRule="auto"/>
        <w:jc w:val="right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widowControl/>
        <w:spacing w:line="240" w:lineRule="auto"/>
        <w:jc w:val="center"/>
        <w:rPr>
          <w:rFonts w:cs="Times New Roman"/>
          <w:b/>
          <w:lang w:val="ru-RU" w:eastAsia="ar-SA" w:bidi="ar-SA"/>
        </w:rPr>
      </w:pP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  <w:r>
        <w:rPr>
          <w:rFonts w:cs="Times New Roman"/>
          <w:b/>
          <w:lang w:val="ru-RU" w:eastAsia="ar-SA" w:bidi="ar-SA"/>
        </w:rPr>
      </w:r>
    </w:p>
    <w:p>
      <w:pPr>
        <w:pStyle w:val="867"/>
        <w:keepNext/>
        <w:widowControl/>
        <w:spacing w:line="240" w:lineRule="auto"/>
        <w:jc w:val="center"/>
        <w:rPr>
          <w:rFonts w:cs="Times New Roman"/>
          <w:sz w:val="28"/>
          <w:szCs w:val="28"/>
          <w:lang w:val="ru-RU" w:eastAsia="ar-SA" w:bidi="ar-SA"/>
        </w:rPr>
      </w:pPr>
      <w:r>
        <w:rPr>
          <w:rFonts w:cs="Times New Roman"/>
          <w:b/>
          <w:sz w:val="28"/>
          <w:szCs w:val="28"/>
          <w:lang w:val="ru-RU" w:eastAsia="ar-SA" w:bidi="ar-SA"/>
        </w:rPr>
        <w:t xml:space="preserve">РЕШЕНИЕ</w:t>
      </w:r>
      <w:r>
        <w:rPr>
          <w:rFonts w:cs="Times New Roman"/>
          <w:sz w:val="28"/>
          <w:szCs w:val="28"/>
          <w:lang w:val="ru-RU" w:eastAsia="ar-SA" w:bidi="ar-SA"/>
        </w:rPr>
      </w:r>
      <w:r>
        <w:rPr>
          <w:rFonts w:cs="Times New Roman"/>
          <w:sz w:val="28"/>
          <w:szCs w:val="28"/>
          <w:lang w:val="ru-RU" w:eastAsia="ar-SA" w:bidi="ar-SA"/>
        </w:rPr>
      </w:r>
    </w:p>
    <w:p>
      <w:pPr>
        <w:pStyle w:val="867"/>
        <w:widowControl/>
        <w:spacing w:line="240" w:lineRule="auto"/>
        <w:jc w:val="center"/>
        <w:rPr>
          <w:rFonts w:cs="Times New Roman"/>
          <w:lang w:val="ru-RU" w:eastAsia="ar-SA" w:bidi="ar-SA"/>
        </w:rPr>
      </w:pP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</w:p>
    <w:p>
      <w:pPr>
        <w:pStyle w:val="867"/>
        <w:widowControl/>
        <w:spacing w:line="240" w:lineRule="auto"/>
        <w:jc w:val="center"/>
        <w:rPr>
          <w:rFonts w:cs="Times New Roman"/>
          <w:lang w:val="ru-RU" w:eastAsia="ar-SA" w:bidi="ar-SA"/>
        </w:rPr>
      </w:pP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</w:p>
    <w:tbl>
      <w:tblPr>
        <w:tblStyle w:val="855"/>
        <w:tblW w:w="10773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20"/>
        <w:gridCol w:w="5953"/>
      </w:tblGrid>
      <w:tr>
        <w:trPr/>
        <w:tblPrEx/>
        <w:tc>
          <w:tcPr>
            <w:tcW w:w="4820" w:type="dxa"/>
            <w:noWrap w:val="false"/>
            <w:textDirection w:val="lrTb"/>
          </w:tcPr>
          <w:p>
            <w:pPr>
              <w:pStyle w:val="867"/>
              <w:widowControl/>
              <w:spacing w:line="240" w:lineRule="auto"/>
              <w:rPr>
                <w:rFonts w:cs="Times New Roman"/>
                <w:lang w:val="ru-RU" w:eastAsia="ar-SA" w:bidi="ar-SA"/>
              </w:rPr>
            </w:pPr>
            <w:r>
              <w:rPr>
                <w:rFonts w:cs="Times New Roman"/>
                <w:lang w:val="ru-RU" w:eastAsia="ar-SA" w:bidi="ar-SA"/>
              </w:rPr>
              <w:t xml:space="preserve">от           202</w:t>
            </w:r>
            <w:r>
              <w:rPr>
                <w:rFonts w:hint="default" w:cs="Times New Roman"/>
                <w:lang w:val="ru-RU" w:eastAsia="ar-SA" w:bidi="ar-SA"/>
              </w:rPr>
              <w:t xml:space="preserve">5</w:t>
            </w:r>
            <w:r>
              <w:rPr>
                <w:rFonts w:cs="Times New Roman"/>
                <w:lang w:val="ru-RU" w:eastAsia="ar-SA" w:bidi="ar-SA"/>
              </w:rPr>
              <w:t xml:space="preserve"> года</w:t>
            </w:r>
            <w:r>
              <w:rPr>
                <w:rFonts w:cs="Times New Roman"/>
                <w:lang w:val="ru-RU" w:eastAsia="ar-SA" w:bidi="ar-SA"/>
              </w:rPr>
            </w:r>
            <w:r>
              <w:rPr>
                <w:rFonts w:cs="Times New Roman"/>
                <w:lang w:val="ru-RU" w:eastAsia="ar-SA" w:bidi="ar-SA"/>
              </w:rPr>
            </w:r>
          </w:p>
        </w:tc>
        <w:tc>
          <w:tcPr>
            <w:tcW w:w="5953" w:type="dxa"/>
            <w:noWrap w:val="false"/>
            <w:textDirection w:val="lrTb"/>
          </w:tcPr>
          <w:p>
            <w:pPr>
              <w:pStyle w:val="867"/>
              <w:widowControl/>
              <w:spacing w:line="240" w:lineRule="auto"/>
              <w:ind w:right="1167"/>
              <w:jc w:val="right"/>
              <w:rPr>
                <w:rFonts w:cs="Times New Roman"/>
                <w:lang w:val="ru-RU" w:eastAsia="ar-SA" w:bidi="ar-SA"/>
              </w:rPr>
            </w:pPr>
            <w:r>
              <w:rPr>
                <w:rFonts w:cs="Times New Roman"/>
                <w:lang w:val="ru-RU" w:eastAsia="ar-SA" w:bidi="ar-SA"/>
              </w:rPr>
              <w:t xml:space="preserve">№   </w:t>
            </w:r>
            <w:r>
              <w:rPr>
                <w:rFonts w:cs="Times New Roman"/>
                <w:lang w:val="ru-RU" w:eastAsia="ar-SA" w:bidi="ar-SA"/>
              </w:rPr>
            </w:r>
            <w:r>
              <w:rPr>
                <w:rFonts w:cs="Times New Roman"/>
                <w:lang w:val="ru-RU" w:eastAsia="ar-SA" w:bidi="ar-SA"/>
              </w:rPr>
            </w:r>
          </w:p>
          <w:p>
            <w:pPr>
              <w:pStyle w:val="867"/>
              <w:widowControl/>
              <w:spacing w:line="240" w:lineRule="auto"/>
              <w:ind w:right="116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</w:tbl>
    <w:p>
      <w:pPr>
        <w:pStyle w:val="867"/>
        <w:widowControl/>
        <w:spacing w:line="240" w:lineRule="auto"/>
        <w:rPr>
          <w:rFonts w:cs="Times New Roman"/>
          <w:lang w:val="ru-RU" w:eastAsia="ar-SA" w:bidi="ar-SA"/>
        </w:rPr>
      </w:pP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  <w:r>
        <w:rPr>
          <w:rFonts w:cs="Times New Roman"/>
          <w:lang w:val="ru-RU" w:eastAsia="ar-SA" w:bidi="ar-SA"/>
        </w:rPr>
      </w:r>
    </w:p>
    <w:p>
      <w:pPr>
        <w:pStyle w:val="868"/>
        <w:jc w:val="center"/>
      </w:pPr>
      <w:r>
        <w:t xml:space="preserve">О внесении изменений в отдельные </w:t>
      </w:r>
      <w:r>
        <w:t xml:space="preserve"> решения Думы Белоярского района </w:t>
      </w:r>
    </w:p>
    <w:p>
      <w:pPr>
        <w:pStyle w:val="869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keepNext w:val="0"/>
        <w:keepLines w:val="0"/>
        <w:pageBreakBefor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1  октября 2025 года  № 1511 «</w:t>
      </w:r>
      <w:r>
        <w:rPr>
          <w:rFonts w:ascii="Times New Roman" w:hAnsi="Times New Roman"/>
          <w:sz w:val="24"/>
          <w:szCs w:val="24"/>
        </w:rPr>
        <w:t xml:space="preserve">О периодичности проведения обязательных профилактических визитов в рамках государственного контроля (надзора), муниципального контроля», </w:t>
      </w:r>
      <w:r>
        <w:rPr>
          <w:rFonts w:ascii="Times New Roman" w:hAnsi="Times New Roman"/>
          <w:bCs/>
          <w:sz w:val="24"/>
          <w:szCs w:val="24"/>
        </w:rPr>
        <w:t xml:space="preserve">Дума Белоярского района </w:t>
      </w:r>
      <w:r>
        <w:rPr>
          <w:rFonts w:ascii="Times New Roman" w:hAnsi="Times New Roman"/>
          <w:b/>
          <w:bCs/>
          <w:sz w:val="24"/>
          <w:szCs w:val="24"/>
        </w:rPr>
        <w:t xml:space="preserve">р е ш и л а: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0"/>
        <w:jc w:val="both"/>
        <w:rPr>
          <w:rFonts w:ascii="Times New Roman" w:hAnsi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  <w:tab/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1.  Внести в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приложение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«Положение о муниципальном лесном контроле» к решению Думы Белоярского района от 23 сентября 2021 года № 46 «Об утверждении Положения о муниципальном лесном контроле» следующие изменения: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0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ab/>
        <w:t xml:space="preserve">1)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в разделе  2 «Управление рисками причинения вреда (ущерба) охраняемыми законом ценностям при осуществлении муниципального контроля»: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а) пункт 2.6  изложить в следующей редакции: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«2.6. 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1) средний риск;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2) умеренный риск;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3) низкий риск.»;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б) дополнить пунктами 2.7-2.15 следующего содержания: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«2.7. Отнесение объекта контроля к одной из категорий риска осуществляется контрольным органом на основе сопоставления его характеристик с критериями риска.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Критерии отнесения объектов контроля к определенной категории риска: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</w:t>
        <w:tab/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1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) к категории среднего риска - установление в течение двух лет, предшествующих моменту отнесения объекта контроля к одной из категорий риска, факта причинения вреда лесам и находящимся в них природным объектам вследствие нарушения лесного законодательства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(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в том числе выразившегося в незаконной рубке деревьев, нарушении правил санитарной безопасности в лесах, загрязнении лесов сточными водами, химическими, радиоактивными и другими вредными веществами, отходами производства и потребления и (или) в ином негати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вном воздействии на леса или в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нарушении правил пожарной безопасности в лесах, повлёкшем возникновение лесного пожара) контролируемым лицом, в том числе вследствие действий (бездействия) должностных лиц контролируемого лица, и (или) иными лицами, действующи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ми на основании договорных отношений с контролируемым лицом;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) к категории умеренного риска - совершение в течение двух лет, предшествующих моменту отнесения объекта контроля к одной из категорий риска, административного правонарушения без причинения вреда лесам и находящимся в них природным объектам (статьи 8.5.2,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.25 - 8.27, 8.32.3, 8.45.1, часть 1 статьи 19.5 Кодекса Российской Федерации об административных правонарушениях) контролируемым лицом, в том числе вследствие действий (бездействия) должностных лиц контролируемого лица, и (или) иными лицами, действующими н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а основании договорных отношений с контролируемым лицом;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3) к категории низкого риска - лесные участки, за исключением лесных участков, отнесённых к категориям среднего и умеренного риска.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rFonts w:ascii="Times New Roman" w:hAnsi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Установление факта причинения контролируемым лицом вреда лесам и находящимся в них природным объектам вследствие нарушения лесного законодательства в соответствии с подпунктами 1, 2 настоящего пункта осуществляется согласно вступившему в зако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нную силу постановлению о назначении административного наказания, приговору суда и (или) иному судебному акту.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.8. Категория объектов, отнесенных к категориям низкого либо умеренного риска, может быть повышена при наличии вступивших в законную силу в течение трех последних лет двух и более постановлений (решений) по делу об административном правонарушении с назначе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нием административного наказания по основаниям, предусмотренным статьями 7.1, 8.6, 8.7, 8.8 Кодекса Российской Федерации об административных правонарушениях.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2.9. В случае если объект контроля не отнесен контрольным органом к определенной категории риска, он считается отнесенным к категории низкого риска. 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2.10. На основании части 5 статьи 25 Федерального закона № 248-ФЗ плановые контрольные мероприятия в отношении категорий среднего, умеренного и низкого риска не проводятся.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2.11.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.12.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ние об изменении категории риска указанного объекта контроля.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2.13.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услуг) вправе подать в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2.14. 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b w:val="0"/>
          <w:bCs w:val="0"/>
        </w:rPr>
      </w:r>
    </w:p>
    <w:p>
      <w:pPr>
        <w:keepNext w:val="0"/>
        <w:keepLines w:val="0"/>
        <w:pageBreakBefore w:val="0"/>
        <w:spacing w:after="0" w:line="240" w:lineRule="auto"/>
        <w:ind w:left="0" w:firstLine="708"/>
        <w:jc w:val="both"/>
        <w:rPr>
          <w:rFonts w:ascii="Times New Roman" w:hAnsi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.15. 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ы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 «Федеральный реестр государственных и муниципальных услуг (функций)»,  «Единый реестр видов федерального государственного контроля (надзора), регионального государственного контроля (надзора), муниципального контроля» (далее - ЕРВК) в соответствии с крите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риями риска указанными в  пункте 2.7 настоящего Положения.»;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firstLine="708"/>
        <w:jc w:val="both"/>
        <w:rPr>
          <w:highlight w:val="none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2)  в разделе 3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«Профилактика рисков причинения вреда  (ущерба) охраняемым законом ценностям»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абзац пятый пункта 3.10 изложить в следующей редакции: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highlight w:val="none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highlight w:val="none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 «Для объектов контроля, отнесенных к категории низкого риска, периодичность проведения обязательных профилактических визитов не устанавливается.».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highlight w:val="none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Внести в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приложени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е  «Положение о муниципальном земельном контроле на территории Белоярского района» к решению Думы Белоярского района от 4 октября 2021 года № 49 «Об утверждении Положения о муниципальном земельном контроле на территории Белоярского района» следующие изменен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ия: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1)  в разделе  2 «Управление рисками причинения вреда (ущерба) охраняемыми законом ценностям при осуществлении муниципального контроля»: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708" w:firstLine="0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а) пункт 2.6  изложить в следующей редакции: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«2.6.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708" w:firstLine="0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1) средний риск;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708" w:firstLine="0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2) умеренный риск;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708" w:firstLine="0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3) низкий риск.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;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708" w:firstLine="0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б) дополнить пунктами 2.7-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2.15 следующего содержания: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«2.7. Отнесение объекта контроля к одной из категорий риска осуществляется контрольным органом на основе сопоставления его характеристик с критериями риска. 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Критерии отнесения объектов контроля к определенной категории риска: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1)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к категории среднего риска относятся объекты земельных отношений, в отношении которых контрольным органом было выявлено нарушение требований земельного законодательства, связанное с использованием земельного участка не по целевому назначению в соответствии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с его принадлежностью к той или иной категории земель и (или) разрешенным использованием.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Категория объектов, отнесенных к категории среднего риска может быть понижена в случае устранения выявленных нарушений требований земельного законодательства в течение календарного года с даты выявления нарушения;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) к категории умеренного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 выданного контрольным органом предостережения о недопустимости нарушения об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язательных требований.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К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атегория объектов, отнесенных к категории умеренного риска может быть понижена в случае устранения выявленных нарушений требований земельного законодательства в течение календарного года с даты выявления нарушения, отсутствия выданных контрольным органом п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редписаний об устранении выявленных нарушений обязательных требований;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3) к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категории низкого риска относятся объекты контроля, не предусмотренные категориями среднего и умеренного риска.</w:t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2.8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Категория объектов, отнесенных к категориям низкого либо умеренного риска, может быть повышена при наличии вступивших в законную силу в течение трех последних лет двух и более постановлений (решений) по делу об административном правонарушении с назначени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ем административного наказания по основаниям, предусмотренным статьями 7.1, 8.6, 8.7, 8.8 Кодекса Российской Федерации об административных правонарушениях.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9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В случае если объект контроля не отнесен контрольным органом к определенной категории риска, он считается отнесенным к категории низкого риска.  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0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На основании части 5 статьи 25 Федерального закона № 248-ФЗ плановые контрольные мероприятия в отношении категорий среднего, умеренного и низкого риска не проводятся.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2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ие об изменении категории риска указанного объекта контроля.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3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услуг) вправе подать в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4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hint="default" w:cs="Times New Roman"/>
          <w:sz w:val="24"/>
          <w:szCs w:val="24"/>
          <w:highlight w:val="none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2.1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5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 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ы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«Федеральный реестр государственных и муниципальных услуг (функций)»,  «Единый реестр видов федерального государственного контроля (надзора), регионального государственного контроля (надзора), муниципального контроля» (далее - ЕРВК) в соответствии с крите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риями риска указанным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и в  п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ункте 2.7 настоящего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Положения.»;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2 ) в разделе 3 «Профилактика рисков причинения вреда  (ущерба) охраняемым законом ценностям»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абзац пятый пункта 3.10 изложить в следующей редакции: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 «Для объектов контроля, отнесенных к категории низкого риска, периодичность проведения обязательных профилактических визитов не устанавливается.».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right="0"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3.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Внести в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раздел 3 «Профилактика рисков причинения вреда  (ущерба) охраняемым законом ценностям» приложения «Положение о муниципальном жилищном контроле на территории городского и сельских поселений в границах Белоярского района» к решению Думы Белоярского района о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т 4 октября 2021 года № 51 «Об утверждении Положения о муниципальном жилищном контроле на территории городского и сельских поселений в границах Белоярского района»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 изменение, изложив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абзац пятый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пункта 3.10 в следующей редакции:</w:t>
      </w:r>
      <w:r>
        <w:rPr>
          <w:rFonts w:hint="default" w:ascii="Times New Roman" w:hAnsi="Times New Roman" w:cs="Times New Roman"/>
          <w:sz w:val="24"/>
          <w:szCs w:val="24"/>
        </w:rPr>
      </w:r>
      <w:r>
        <w:rPr>
          <w:rFonts w:hint="default" w:ascii="Times New Roman" w:hAnsi="Times New Roman" w:cs="Times New Roman"/>
          <w:sz w:val="24"/>
          <w:szCs w:val="24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firstLine="0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ab/>
        <w:t xml:space="preserve">«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Для объектов контроля, отнесенных к категории низкого риска, периодичность проведения обязательных профилактических визитов не устанавливается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.».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firstLine="0"/>
        <w:jc w:val="both"/>
      </w:pPr>
      <w:r>
        <w:rPr>
          <w:rFonts w:hint="default" w:cs="Times New Roman"/>
          <w:sz w:val="24"/>
          <w:szCs w:val="24"/>
          <w:highlight w:val="none"/>
          <w:lang w:val="ru-RU"/>
        </w:rPr>
        <w:tab/>
        <w:t xml:space="preserve">4.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Внести в раздел 3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«Профилактика рисков причинения вреда  (ущерба) охраняемым законом ценностям»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приложения «Положение о муниципальном контроле на автомобильном транспорте, городском наземном электрическом транспорте и в дорожном хозяйстве»            к решению Думы Белоярского района от 9 декабря 2021 года № 75 «Об утверждении Положения о 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муниципальном контроле на автомобильном транспорте, городском наземном электрическом транспорте и в дорожном хозяйстве»</w:t>
      </w:r>
      <w:r>
        <w:rPr>
          <w:rFonts w:hint="default" w:cs="Times New Roman"/>
          <w:sz w:val="24"/>
          <w:szCs w:val="24"/>
          <w:highlight w:val="none"/>
          <w:lang w:val="ru-RU"/>
        </w:rPr>
        <w:t xml:space="preserve"> изменение, изложив абзац пятый пункта 3.10 в следующей редакции:</w:t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left="0" w:firstLine="708"/>
        <w:jc w:val="both"/>
        <w:rPr>
          <w:rFonts w:hint="default" w:cs="Times New Roman"/>
          <w:sz w:val="24"/>
          <w:szCs w:val="24"/>
          <w:highlight w:val="none"/>
          <w:lang w:val="ru-RU"/>
        </w:rPr>
      </w:pPr>
      <w:r>
        <w:rPr>
          <w:rFonts w:hint="default" w:cs="Times New Roman"/>
          <w:sz w:val="24"/>
          <w:szCs w:val="24"/>
          <w:highlight w:val="none"/>
          <w:lang w:val="ru-RU"/>
        </w:rPr>
        <w:t xml:space="preserve"> «Для объектов контроля, отнесенных к категории низкого риска, периодичность проведения обязательных профилактических визитов не устанавливается.».</w:t>
      </w:r>
      <w:r>
        <w:rPr>
          <w:rFonts w:hint="default" w:cs="Times New Roman"/>
          <w:sz w:val="24"/>
          <w:szCs w:val="24"/>
          <w:highlight w:val="none"/>
          <w:lang w:val="ru-RU"/>
        </w:rPr>
      </w:r>
      <w:r>
        <w:rPr>
          <w:rFonts w:hint="default" w:cs="Times New Roman"/>
          <w:sz w:val="24"/>
          <w:szCs w:val="24"/>
          <w:highlight w:val="none"/>
          <w:lang w:val="ru-RU"/>
        </w:rPr>
      </w:r>
    </w:p>
    <w:p>
      <w:pPr>
        <w:pStyle w:val="865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5.Опубликовать настоящее решение в газете «Белоярские вести. Официальный выпуск».</w:t>
      </w:r>
      <w:r>
        <w:rPr>
          <w:rFonts w:hint="default" w:ascii="Times New Roman" w:hAnsi="Times New Roman" w:cs="Times New Roman"/>
          <w:sz w:val="24"/>
          <w:szCs w:val="24"/>
        </w:rPr>
      </w:r>
      <w:r>
        <w:rPr>
          <w:rFonts w:hint="default" w:ascii="Times New Roman" w:hAnsi="Times New Roman" w:cs="Times New Roman"/>
          <w:sz w:val="24"/>
          <w:szCs w:val="24"/>
        </w:rPr>
      </w:r>
    </w:p>
    <w:p>
      <w:pPr>
        <w:pStyle w:val="865"/>
        <w:keepNext w:val="0"/>
        <w:keepLines w:val="0"/>
        <w:pageBreakBefore w:val="0"/>
        <w:widowControl w:val="off"/>
        <w:numPr>
          <w:numId w:val="0"/>
          <w:ilvl w:val="0"/>
        </w:numPr>
        <w:spacing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Настоящее решение вступает в силу после его официального опубликования.</w:t>
      </w:r>
      <w:r>
        <w:rPr>
          <w:rFonts w:hint="default" w:ascii="Times New Roman" w:hAnsi="Times New Roman" w:cs="Times New Roman"/>
          <w:sz w:val="24"/>
          <w:szCs w:val="24"/>
        </w:rPr>
      </w:r>
      <w:r>
        <w:rPr>
          <w:rFonts w:hint="default" w:ascii="Times New Roman" w:hAnsi="Times New Roman" w:cs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Думы Белоярского района                                                                А.Г. Берестов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Белоярского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С.П. Маненков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hint="default" w:ascii="Times New Roman" w:hAnsi="Times New Roman"/>
          <w:sz w:val="24"/>
          <w:szCs w:val="24"/>
          <w:lang w:val="ru-RU"/>
        </w:rPr>
      </w:r>
      <w:r>
        <w:rPr>
          <w:rFonts w:hint="default" w:ascii="Times New Roman" w:hAnsi="Times New Roman"/>
          <w:sz w:val="24"/>
          <w:szCs w:val="24"/>
          <w:lang w:val="ru-RU"/>
        </w:rPr>
      </w: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</w:r>
      <w:r>
        <w:rPr>
          <w:rFonts w:hint="default" w:ascii="Times New Roman" w:hAnsi="Times New Roman"/>
          <w:sz w:val="24"/>
          <w:szCs w:val="24"/>
          <w:lang w:val="ru-RU"/>
        </w:rPr>
      </w:r>
      <w:r>
        <w:rPr>
          <w:rFonts w:hint="default" w:ascii="Times New Roman" w:hAnsi="Times New Roman"/>
          <w:sz w:val="24"/>
          <w:szCs w:val="24"/>
          <w:lang w:val="ru-RU"/>
        </w:rPr>
      </w:r>
    </w:p>
    <w:sectPr>
      <w:footnotePr/>
      <w:endnotePr/>
      <w:type w:val="nextPage"/>
      <w:pgSz w:w="11906" w:h="16838" w:orient="portrait"/>
      <w:pgMar w:top="709" w:right="850" w:bottom="709" w:left="1418" w:header="708" w:footer="0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40" w:lineRule="auto"/>
      </w:pPr>
      <w:r>
        <w:separator/>
      </w:r>
    </w:p>
  </w:footnote>
  <w:footnote w:type="continuationSeparator" w:id="0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space"/>
      <w:lvlText w:val="%1."/>
      <w:lvlJc w:val="left"/>
      <w:pPr/>
      <w:rPr>
        <w:rFonts w:hint="default"/>
        <w:u w:val="none"/>
      </w:rPr>
    </w:lvl>
    <w:lvl w:ilvl="1">
      <w:start w:val="1"/>
      <w:numFmt w:val="decimal"/>
      <w:isLgl w:val="false"/>
      <w:suff w:val="space"/>
      <w:lvlText w:val="%1.%2."/>
      <w:lvlJc w:val="left"/>
      <w:pPr>
        <w:ind w:left="120" w:firstLine="0"/>
      </w:pPr>
      <w:rPr>
        <w:rFonts w:hint="default"/>
        <w:u w:val="none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120" w:firstLine="0"/>
      </w:pPr>
      <w:rPr>
        <w:rFonts w:hint="default"/>
        <w:u w:val="none"/>
      </w:rPr>
    </w:lvl>
    <w:lvl w:ilvl="3">
      <w:start w:val="1"/>
      <w:numFmt w:val="decimal"/>
      <w:isLgl w:val="false"/>
      <w:suff w:val="space"/>
      <w:lvlText w:val="%1.%2.%3.%4."/>
      <w:lvlJc w:val="left"/>
      <w:pPr>
        <w:ind w:left="120" w:firstLine="0"/>
      </w:pPr>
      <w:rPr>
        <w:rFonts w:hint="default"/>
        <w:u w:val="none"/>
      </w:rPr>
    </w:lvl>
    <w:lvl w:ilvl="4">
      <w:start w:val="1"/>
      <w:numFmt w:val="decimal"/>
      <w:isLgl w:val="false"/>
      <w:suff w:val="space"/>
      <w:lvlText w:val="%1.%2.%3.%4.%5."/>
      <w:lvlJc w:val="left"/>
      <w:pPr>
        <w:ind w:left="120" w:firstLine="0"/>
      </w:pPr>
      <w:rPr>
        <w:rFonts w:hint="default"/>
        <w:u w:val="none"/>
      </w:rPr>
    </w:lvl>
    <w:lvl w:ilvl="5">
      <w:start w:val="1"/>
      <w:numFmt w:val="decimal"/>
      <w:isLgl w:val="false"/>
      <w:suff w:val="space"/>
      <w:lvlText w:val="%1.%2.%3.%4.%5.%6."/>
      <w:lvlJc w:val="left"/>
      <w:pPr>
        <w:ind w:left="120" w:firstLine="0"/>
      </w:pPr>
      <w:rPr>
        <w:rFonts w:hint="default"/>
        <w:u w:val="none"/>
      </w:rPr>
    </w:lvl>
    <w:lvl w:ilvl="6">
      <w:start w:val="1"/>
      <w:numFmt w:val="decimal"/>
      <w:isLgl w:val="false"/>
      <w:suff w:val="space"/>
      <w:lvlText w:val="%1.%2.%3.%4.%5.%6.%7."/>
      <w:lvlJc w:val="left"/>
      <w:pPr>
        <w:ind w:left="120" w:firstLine="0"/>
      </w:pPr>
      <w:rPr>
        <w:rFonts w:hint="default"/>
        <w:u w:val="none"/>
      </w:r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120" w:firstLine="0"/>
      </w:pPr>
      <w:rPr>
        <w:rFonts w:hint="default"/>
        <w:u w:val="none"/>
      </w:r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120" w:firstLine="0"/>
      </w:pPr>
      <w:rPr>
        <w:rFonts w:hint="default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/>
      <w:rPr>
        <w:rFonts w:hint="default"/>
        <w:b/>
        <w:color w:val="auto"/>
        <w:u w:val="none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abstractNum w:abstractNumId="4">
    <w:multiLevelType w:val="hybridMultilevel"/>
    <w:lvl w:ilvl="0">
      <w:start w:val="5"/>
      <w:numFmt w:val="decimal"/>
      <w:isLgl w:val="false"/>
      <w:suff w:val="space"/>
      <w:lvlText w:val="%1."/>
      <w:lvlJc w:val="left"/>
      <w:pPr/>
      <w:rPr>
        <w:rFonts w:hint="default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4"/>
    <w:link w:val="853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2"/>
    <w:next w:val="852"/>
    <w:link w:val="68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4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2"/>
    <w:next w:val="852"/>
    <w:link w:val="68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4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2"/>
    <w:next w:val="852"/>
    <w:link w:val="686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4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2"/>
    <w:next w:val="852"/>
    <w:link w:val="688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4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2"/>
    <w:next w:val="852"/>
    <w:link w:val="69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4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2"/>
    <w:next w:val="852"/>
    <w:link w:val="69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4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2"/>
    <w:next w:val="852"/>
    <w:link w:val="694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4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2"/>
    <w:next w:val="852"/>
    <w:link w:val="69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4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2"/>
    <w:next w:val="852"/>
    <w:link w:val="69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9">
    <w:name w:val="Title Char"/>
    <w:basedOn w:val="854"/>
    <w:link w:val="698"/>
    <w:uiPriority w:val="10"/>
    <w:rPr>
      <w:sz w:val="48"/>
      <w:szCs w:val="48"/>
    </w:rPr>
  </w:style>
  <w:style w:type="paragraph" w:styleId="700">
    <w:name w:val="Subtitle"/>
    <w:basedOn w:val="852"/>
    <w:next w:val="852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4"/>
    <w:link w:val="700"/>
    <w:uiPriority w:val="11"/>
    <w:rPr>
      <w:sz w:val="24"/>
      <w:szCs w:val="24"/>
    </w:rPr>
  </w:style>
  <w:style w:type="paragraph" w:styleId="702">
    <w:name w:val="Quote"/>
    <w:basedOn w:val="852"/>
    <w:next w:val="852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2"/>
    <w:next w:val="852"/>
    <w:link w:val="70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4"/>
    <w:link w:val="859"/>
    <w:uiPriority w:val="99"/>
  </w:style>
  <w:style w:type="character" w:styleId="707">
    <w:name w:val="Footer Char"/>
    <w:basedOn w:val="854"/>
    <w:link w:val="860"/>
    <w:uiPriority w:val="99"/>
  </w:style>
  <w:style w:type="paragraph" w:styleId="708">
    <w:name w:val="Caption"/>
    <w:basedOn w:val="852"/>
    <w:next w:val="852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854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4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4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spacing w:after="57"/>
      <w:ind w:left="0" w:right="0" w:firstLine="0"/>
    </w:pPr>
  </w:style>
  <w:style w:type="paragraph" w:styleId="842">
    <w:name w:val="toc 2"/>
    <w:basedOn w:val="852"/>
    <w:next w:val="852"/>
    <w:uiPriority w:val="39"/>
    <w:unhideWhenUsed/>
    <w:pPr>
      <w:spacing w:after="57"/>
      <w:ind w:left="283" w:right="0" w:firstLine="0"/>
    </w:pPr>
  </w:style>
  <w:style w:type="paragraph" w:styleId="843">
    <w:name w:val="toc 3"/>
    <w:basedOn w:val="852"/>
    <w:next w:val="852"/>
    <w:uiPriority w:val="39"/>
    <w:unhideWhenUsed/>
    <w:pPr>
      <w:spacing w:after="57"/>
      <w:ind w:left="567" w:right="0" w:firstLine="0"/>
    </w:pPr>
  </w:style>
  <w:style w:type="paragraph" w:styleId="844">
    <w:name w:val="toc 4"/>
    <w:basedOn w:val="852"/>
    <w:next w:val="852"/>
    <w:uiPriority w:val="39"/>
    <w:unhideWhenUsed/>
    <w:pPr>
      <w:spacing w:after="57"/>
      <w:ind w:left="850" w:right="0" w:firstLine="0"/>
    </w:pPr>
  </w:style>
  <w:style w:type="paragraph" w:styleId="845">
    <w:name w:val="toc 5"/>
    <w:basedOn w:val="852"/>
    <w:next w:val="852"/>
    <w:uiPriority w:val="39"/>
    <w:unhideWhenUsed/>
    <w:pPr>
      <w:spacing w:after="57"/>
      <w:ind w:left="1134" w:right="0" w:firstLine="0"/>
    </w:pPr>
  </w:style>
  <w:style w:type="paragraph" w:styleId="846">
    <w:name w:val="toc 6"/>
    <w:basedOn w:val="852"/>
    <w:next w:val="852"/>
    <w:uiPriority w:val="39"/>
    <w:unhideWhenUsed/>
    <w:pPr>
      <w:spacing w:after="57"/>
      <w:ind w:left="1417" w:right="0" w:firstLine="0"/>
    </w:pPr>
  </w:style>
  <w:style w:type="paragraph" w:styleId="847">
    <w:name w:val="toc 7"/>
    <w:basedOn w:val="852"/>
    <w:next w:val="852"/>
    <w:uiPriority w:val="39"/>
    <w:unhideWhenUsed/>
    <w:pPr>
      <w:spacing w:after="57"/>
      <w:ind w:left="1701" w:right="0" w:firstLine="0"/>
    </w:pPr>
  </w:style>
  <w:style w:type="paragraph" w:styleId="848">
    <w:name w:val="toc 8"/>
    <w:basedOn w:val="852"/>
    <w:next w:val="852"/>
    <w:uiPriority w:val="39"/>
    <w:unhideWhenUsed/>
    <w:pPr>
      <w:spacing w:after="57"/>
      <w:ind w:left="1984" w:right="0" w:firstLine="0"/>
    </w:pPr>
  </w:style>
  <w:style w:type="paragraph" w:styleId="849">
    <w:name w:val="toc 9"/>
    <w:basedOn w:val="852"/>
    <w:next w:val="852"/>
    <w:uiPriority w:val="39"/>
    <w:unhideWhenUsed/>
    <w:pPr>
      <w:spacing w:after="57"/>
      <w:ind w:left="2268" w:right="0" w:firstLine="0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uiPriority w:val="0"/>
    <w:qFormat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853">
    <w:name w:val="Heading 1"/>
    <w:basedOn w:val="852"/>
    <w:next w:val="852"/>
    <w:link w:val="863"/>
    <w:uiPriority w:val="99"/>
    <w:qFormat/>
    <w:pPr>
      <w:spacing w:before="108" w:after="108" w:line="240" w:lineRule="auto"/>
      <w:jc w:val="center"/>
      <w:outlineLvl w:val="0"/>
    </w:pPr>
    <w:rPr>
      <w:rFonts w:ascii="Arial" w:hAnsi="Arial" w:eastAsia="Times New Roman"/>
      <w:b/>
      <w:bCs/>
      <w:color w:val="000080"/>
      <w:sz w:val="20"/>
      <w:szCs w:val="20"/>
      <w:lang w:eastAsia="ru-RU"/>
    </w:rPr>
  </w:style>
  <w:style w:type="character" w:styleId="854" w:default="1">
    <w:name w:val="Default Paragraph Font"/>
    <w:uiPriority w:val="1"/>
    <w:semiHidden/>
    <w:unhideWhenUsed/>
    <w:qFormat/>
  </w:style>
  <w:style w:type="table" w:styleId="855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56">
    <w:name w:val="Hyperlink"/>
    <w:uiPriority w:val="99"/>
    <w:qFormat/>
    <w:rPr>
      <w:rFonts w:cs="Times New Roman"/>
      <w:color w:val="0000ff"/>
      <w:u w:val="single"/>
    </w:rPr>
  </w:style>
  <w:style w:type="paragraph" w:styleId="857">
    <w:name w:val="Balloon Text"/>
    <w:basedOn w:val="852"/>
    <w:link w:val="866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858">
    <w:name w:val="Body Text Indent 3"/>
    <w:basedOn w:val="852"/>
    <w:link w:val="876"/>
    <w:uiPriority w:val="0"/>
    <w:qFormat/>
    <w:pPr>
      <w:spacing w:after="0" w:line="240" w:lineRule="auto"/>
      <w:jc w:val="center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859">
    <w:name w:val="Header"/>
    <w:basedOn w:val="852"/>
    <w:link w:val="874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860">
    <w:name w:val="Footer"/>
    <w:basedOn w:val="852"/>
    <w:link w:val="875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861">
    <w:name w:val="Normal (Web)"/>
    <w:uiPriority w:val="0"/>
    <w:unhideWhenUsed/>
    <w:qFormat/>
    <w:pPr>
      <w:jc w:val="both"/>
    </w:pPr>
    <w:rPr>
      <w:rFonts w:hint="default" w:ascii="Times New Roman" w:hAnsi="Times New Roman" w:eastAsia="SimSun" w:cs="Times New Roman"/>
      <w:sz w:val="24"/>
      <w:szCs w:val="24"/>
    </w:rPr>
  </w:style>
  <w:style w:type="table" w:styleId="862">
    <w:name w:val="Table Grid"/>
    <w:basedOn w:val="855"/>
    <w:uiPriority w:val="9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63" w:customStyle="1">
    <w:name w:val="Заголовок 1 Знак"/>
    <w:link w:val="853"/>
    <w:uiPriority w:val="99"/>
    <w:qFormat/>
    <w:rPr>
      <w:rFonts w:ascii="Arial" w:hAnsi="Arial" w:cs="Times New Roman"/>
      <w:b/>
      <w:color w:val="000080"/>
    </w:rPr>
  </w:style>
  <w:style w:type="paragraph" w:styleId="864">
    <w:name w:val="List Paragraph"/>
    <w:basedOn w:val="852"/>
    <w:uiPriority w:val="99"/>
    <w:qFormat/>
    <w:pPr>
      <w:ind w:left="720"/>
      <w:contextualSpacing/>
    </w:pPr>
  </w:style>
  <w:style w:type="paragraph" w:styleId="865" w:customStyle="1">
    <w:name w:val="ConsPlusNormal"/>
    <w:uiPriority w:val="99"/>
    <w:qFormat/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styleId="866" w:customStyle="1">
    <w:name w:val="Текст выноски Знак"/>
    <w:link w:val="857"/>
    <w:uiPriority w:val="99"/>
    <w:semiHidden/>
    <w:qFormat/>
    <w:rPr>
      <w:rFonts w:ascii="Tahoma" w:hAnsi="Tahoma" w:cs="Times New Roman"/>
      <w:sz w:val="16"/>
    </w:rPr>
  </w:style>
  <w:style w:type="paragraph" w:styleId="867" w:customStyle="1">
    <w:name w:val="Обычный1"/>
    <w:uiPriority w:val="99"/>
    <w:qFormat/>
    <w:pPr>
      <w:widowControl w:val="off"/>
      <w:spacing w:line="100" w:lineRule="atLeast"/>
    </w:pPr>
    <w:rPr>
      <w:rFonts w:ascii="Times New Roman" w:hAnsi="Times New Roman" w:eastAsia="Calibri" w:cs="Tahoma"/>
      <w:sz w:val="24"/>
      <w:szCs w:val="24"/>
      <w:lang w:val="de-DE" w:eastAsia="fa-IR" w:bidi="fa-IR"/>
    </w:rPr>
  </w:style>
  <w:style w:type="paragraph" w:styleId="868" w:customStyle="1">
    <w:name w:val="ConsPlusTitle"/>
    <w:uiPriority w:val="99"/>
    <w:qFormat/>
    <w:pPr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styleId="869" w:customStyle="1">
    <w:name w:val="ConsTitle"/>
    <w:uiPriority w:val="99"/>
    <w:qFormat/>
    <w:pPr>
      <w:widowControl w:val="off"/>
      <w:ind w:right="19772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870" w:customStyle="1">
    <w:name w:val="ConsPlusNonformat"/>
    <w:uiPriority w:val="99"/>
    <w:qFormat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1" w:customStyle="1">
    <w:name w:val="Гипертекстовая ссылка"/>
    <w:uiPriority w:val="99"/>
    <w:qFormat/>
    <w:rPr>
      <w:b/>
      <w:color w:val="106bbe"/>
    </w:rPr>
  </w:style>
  <w:style w:type="character" w:styleId="872" w:customStyle="1">
    <w:name w:val="Цветовое выделение"/>
    <w:uiPriority w:val="99"/>
    <w:qFormat/>
    <w:rPr>
      <w:b/>
      <w:color w:val="26282f"/>
    </w:rPr>
  </w:style>
  <w:style w:type="paragraph" w:styleId="873" w:customStyle="1">
    <w:name w:val="Таблицы (моноширинный)"/>
    <w:basedOn w:val="852"/>
    <w:next w:val="852"/>
    <w:uiPriority w:val="99"/>
    <w:qFormat/>
    <w:pPr>
      <w:widowControl w:val="off"/>
      <w:spacing w:after="0" w:line="24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character" w:styleId="874" w:customStyle="1">
    <w:name w:val="Верхний колонтитул Знак"/>
    <w:link w:val="859"/>
    <w:uiPriority w:val="99"/>
    <w:qFormat/>
    <w:rPr>
      <w:rFonts w:cs="Times New Roman"/>
      <w:sz w:val="22"/>
      <w:lang w:eastAsia="en-US"/>
    </w:rPr>
  </w:style>
  <w:style w:type="character" w:styleId="875" w:customStyle="1">
    <w:name w:val="Нижний колонтитул Знак"/>
    <w:link w:val="860"/>
    <w:uiPriority w:val="99"/>
    <w:qFormat/>
    <w:rPr>
      <w:rFonts w:cs="Times New Roman"/>
      <w:sz w:val="22"/>
      <w:lang w:eastAsia="en-US"/>
    </w:rPr>
  </w:style>
  <w:style w:type="character" w:styleId="876" w:customStyle="1">
    <w:name w:val="Основной текст с отступом 3 Знак"/>
    <w:link w:val="858"/>
    <w:uiPriority w:val="0"/>
    <w:qFormat/>
    <w:rPr>
      <w:rFonts w:ascii="Times New Roman" w:hAnsi="Times New Roman" w:eastAsia="Times New Roman"/>
      <w:sz w:val="24"/>
    </w:rPr>
  </w:style>
  <w:style w:type="numbering" w:styleId="87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GorelikovaAU</cp:lastModifiedBy>
  <cp:revision>9</cp:revision>
  <dcterms:created xsi:type="dcterms:W3CDTF">2024-07-17T06:05:00Z</dcterms:created>
  <dcterms:modified xsi:type="dcterms:W3CDTF">2025-11-25T11:06:44Z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98E83EF8FCAB44DFA8834C4AED083A3F</vt:lpwstr>
  </property>
</Properties>
</file>